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9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26.4pt;height:.5pt;mso-position-horizontal-relative:char;mso-position-vertical-relative:line" coordorigin="0,0" coordsize="14528,10">
            <v:group style="position:absolute;left:5;top:5;width:14518;height:2" coordorigin="5,5" coordsize="14518,2">
              <v:shape style="position:absolute;left:5;top:5;width:14518;height:2" coordorigin="5,5" coordsize="14518,0" path="m5,5l14523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 w:before="200"/>
        <w:ind w:left="227" w:right="0"/>
        <w:jc w:val="left"/>
        <w:rPr>
          <w:b w:val="0"/>
          <w:bCs w:val="0"/>
        </w:rPr>
      </w:pPr>
      <w:r>
        <w:rPr/>
        <w:t>Прилог 6</w:t>
      </w:r>
      <w:r>
        <w:rPr>
          <w:rFonts w:ascii="Times New Roman" w:hAnsi="Times New Roman"/>
        </w:rPr>
        <w:t>. </w:t>
      </w:r>
      <w:r>
        <w:rPr/>
        <w:t>Међународна усаглашеностстудијског</w:t>
      </w:r>
      <w:r>
        <w:rPr>
          <w:spacing w:val="-18"/>
        </w:rPr>
        <w:t> </w:t>
      </w:r>
      <w:r>
        <w:rPr/>
        <w:t>програма</w:t>
      </w:r>
      <w:r>
        <w:rPr>
          <w:b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 w:after="8"/>
        <w:ind w:left="227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Прилог 6.0 </w:t>
      </w:r>
      <w:r>
        <w:rPr/>
        <w:t>– </w:t>
      </w:r>
      <w:r>
        <w:rPr>
          <w:rFonts w:ascii="Times New Roman" w:hAnsi="Times New Roman" w:cs="Times New Roman" w:eastAsia="Times New Roman" w:hint="default"/>
        </w:rPr>
        <w:t>К</w:t>
      </w:r>
      <w:r>
        <w:rPr/>
        <w:t>o</w:t>
      </w:r>
      <w:r>
        <w:rPr>
          <w:rFonts w:ascii="Times New Roman" w:hAnsi="Times New Roman" w:cs="Times New Roman" w:eastAsia="Times New Roman" w:hint="default"/>
        </w:rPr>
        <w:t>мпаративна табела студијских програма за образовање наставника предметне наставе, стручних предмета</w:t>
      </w:r>
      <w:r>
        <w:rPr>
          <w:rFonts w:ascii="Times New Roman" w:hAnsi="Times New Roman" w:cs="Times New Roman" w:eastAsia="Times New Roman" w:hint="default"/>
          <w:spacing w:val="-24"/>
        </w:rPr>
        <w:t> </w:t>
      </w:r>
      <w:r>
        <w:rPr>
          <w:rFonts w:ascii="Times New Roman" w:hAnsi="Times New Roman" w:cs="Times New Roman" w:eastAsia="Times New Roman" w:hint="default"/>
        </w:rPr>
        <w:t>2017.</w: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66"/>
        <w:gridCol w:w="3684"/>
        <w:gridCol w:w="569"/>
        <w:gridCol w:w="2268"/>
        <w:gridCol w:w="708"/>
        <w:gridCol w:w="4111"/>
      </w:tblGrid>
      <w:tr>
        <w:trPr>
          <w:trHeight w:val="516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ФТН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0" w:right="17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ЕС </w:t>
            </w:r>
            <w:r>
              <w:rPr>
                <w:rFonts w:ascii="Times New Roman" w:hAnsi="Times New Roman"/>
                <w:spacing w:val="-2"/>
                <w:sz w:val="22"/>
              </w:rPr>
              <w:t>ПБ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Jyvasskyla University,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Finland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Прилог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6.</w:t>
            </w: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Teschnische Universitat Berlin, Deutchland  </w:t>
            </w:r>
            <w:r>
              <w:rPr>
                <w:rFonts w:ascii="Times New Roman" w:hAnsi="Times New Roman"/>
                <w:sz w:val="22"/>
              </w:rPr>
              <w:t>Прилог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University of Helsinki,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Finland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Прилог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6.3</w:t>
            </w:r>
          </w:p>
        </w:tc>
      </w:tr>
      <w:tr>
        <w:trPr>
          <w:trHeight w:val="636" w:hRule="exact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ПРЕДМЕТНА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НАСТАВА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Назначена делимична програмска повезаност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предмета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са предметима студијског програма МАС ПРЕДМЕТНА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НАСТАВА</w:t>
            </w:r>
          </w:p>
        </w:tc>
      </w:tr>
      <w:tr>
        <w:trPr>
          <w:trHeight w:val="516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Основе наука о образовању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обавеѕна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предмета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</w:tr>
      <w:tr>
        <w:trPr>
          <w:trHeight w:val="1022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Обавезни курс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Психологија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69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Development and Growth, Educational Psychology</w:t>
            </w:r>
          </w:p>
          <w:p>
            <w:pPr>
              <w:pStyle w:val="TableParagraph"/>
              <w:spacing w:line="242" w:lineRule="auto"/>
              <w:ind w:left="103" w:right="70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Psychological foundation of Education BSc+MSc (11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ESPB_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  <w:t>BSc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нивоу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0" w:right="41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Psychology of Development and Learning (BSc) Support of different kinds 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learners</w:t>
            </w:r>
          </w:p>
        </w:tc>
      </w:tr>
      <w:tr>
        <w:trPr>
          <w:trHeight w:val="1328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Обавезни курс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Педагогија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33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Cultural foundation of education BSc+Msc (8)</w:t>
            </w:r>
          </w:p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School Community and Society BSc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  <w:t>BSc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нивоу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0" w:right="17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Social, Historical and Philosophical Foundations of Education</w:t>
            </w:r>
          </w:p>
          <w:p>
            <w:pPr>
              <w:pStyle w:val="TableParagraph"/>
              <w:spacing w:line="240" w:lineRule="auto"/>
              <w:ind w:left="100" w:right="87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Basic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  <w:t>of teaching methods and evaluation, Cooperation with different partners and strakeholders</w:t>
            </w:r>
          </w:p>
        </w:tc>
      </w:tr>
      <w:tr>
        <w:trPr>
          <w:trHeight w:val="263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Предмети у изборним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блоковима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</w:tr>
      <w:tr>
        <w:trPr>
          <w:trHeight w:val="768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386" w:right="44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Комуникационе вештине у настави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33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Cultural foundation of education BSc+Msc (8)</w:t>
            </w:r>
          </w:p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School Community and Society BSc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0" w:right="122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Cooperation with different partners and strakeholders</w:t>
            </w:r>
          </w:p>
        </w:tc>
      </w:tr>
      <w:tr>
        <w:trPr>
          <w:trHeight w:val="516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86" w:right="74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Образовање одраслих и доживотно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учење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26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Guidance of growth and learning BSc+MSc (9)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386" w:right="54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Психологија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инклузивног </w:t>
            </w:r>
            <w:r>
              <w:rPr>
                <w:rFonts w:ascii="Times New Roman" w:hAnsi="Times New Roman"/>
                <w:sz w:val="22"/>
              </w:rPr>
              <w:t>образовања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 Developing Individual in group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0" w:right="112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Support of different kinds of learners (6) Education for Diversities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(6)</w:t>
            </w:r>
          </w:p>
          <w:p>
            <w:pPr>
              <w:pStyle w:val="TableParagraph"/>
              <w:spacing w:line="25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Special Education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(BSc)</w:t>
            </w:r>
          </w:p>
        </w:tc>
      </w:tr>
      <w:tr>
        <w:trPr>
          <w:trHeight w:val="768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86" w:right="15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Планирање и евалуација система образовања 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наставе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15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Evaluation and development of teaching Cooperation with different partners and strakeholders</w:t>
            </w:r>
          </w:p>
        </w:tc>
      </w:tr>
      <w:tr>
        <w:trPr>
          <w:trHeight w:val="768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386" w:right="78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Методе истраживања и научне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комуникације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31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Research methodology and communication MSc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Research Methodology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(BSc)</w:t>
            </w:r>
          </w:p>
          <w:p>
            <w:pPr>
              <w:pStyle w:val="TableParagraph"/>
              <w:spacing w:line="240" w:lineRule="auto" w:before="1"/>
              <w:ind w:left="100" w:right="55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Latest research results and research methods of teaching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learning</w:t>
            </w:r>
          </w:p>
        </w:tc>
      </w:tr>
      <w:tr>
        <w:trPr>
          <w:trHeight w:val="518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86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Психологија учења и наставе у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образовању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0" w:right="48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Applied Practice: Distance Education and Web- Based Learning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(4)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741" w:footer="959" w:top="940" w:bottom="1140" w:left="1020" w:right="300"/>
          <w:pgNumType w:start="1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566"/>
        <w:gridCol w:w="566"/>
        <w:gridCol w:w="850"/>
        <w:gridCol w:w="3403"/>
        <w:gridCol w:w="2268"/>
        <w:gridCol w:w="283"/>
        <w:gridCol w:w="4538"/>
      </w:tblGrid>
      <w:tr>
        <w:trPr>
          <w:trHeight w:val="163" w:hRule="exact"/>
        </w:trPr>
        <w:tc>
          <w:tcPr>
            <w:tcW w:w="15281" w:type="dxa"/>
            <w:gridSpan w:val="8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86" w:right="15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Инструкциони дизајн 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развој 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курсева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86" w:right="88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Оцењивање у е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учењу Докимологија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26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Guidance of growth and learning BSc+MSc (9)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0" w:right="10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Fachdidaktik: building und Medienkompetenze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(6)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Evaluation and teaching development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(4)</w:t>
            </w:r>
          </w:p>
        </w:tc>
      </w:tr>
      <w:tr>
        <w:trPr>
          <w:trHeight w:val="506" w:hRule="exact"/>
        </w:trPr>
        <w:tc>
          <w:tcPr>
            <w:tcW w:w="3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Методичке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дисциплине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</w:tr>
      <w:tr>
        <w:trPr>
          <w:trHeight w:val="770" w:hRule="exact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86" w:right="34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Методика наставе Методика наставе посебних дисциплина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4+4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13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Guidance of learning and learning organization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0" w:right="10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Fachdidaktik: building und Medienkompetenze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(6)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Basic of teaching methods and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evaluation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85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Introduction to Subject Didactics/Teaching: General Didactics (BSc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level)</w:t>
            </w:r>
          </w:p>
        </w:tc>
      </w:tr>
      <w:tr>
        <w:trPr>
          <w:trHeight w:val="1022" w:hRule="exact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86" w:right="27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Изборни блок 4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методички практикуми из предметних области са школским хоспитовањем и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праском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Major subject studies including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Fachdidaktik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(6)</w:t>
            </w:r>
          </w:p>
        </w:tc>
        <w:tc>
          <w:tcPr>
            <w:tcW w:w="4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21" w:hRule="exact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Стручна школска пракса 1 и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Practice BSc+MSc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(5+20)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Praxismodul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(11)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0" w:lineRule="auto"/>
              <w:ind w:left="100" w:right="66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Basic Teaching Practice in Teaching Training School BSc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(7)</w:t>
            </w:r>
          </w:p>
          <w:p>
            <w:pPr>
              <w:pStyle w:val="TableParagraph"/>
              <w:tabs>
                <w:tab w:pos="2013" w:val="left" w:leader="none"/>
                <w:tab w:pos="3275" w:val="right" w:leader="none"/>
              </w:tabs>
              <w:spacing w:line="252" w:lineRule="exact" w:before="1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Applied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Practice</w:t>
              <w:tab/>
              <w:t>(4)</w:t>
              <w:tab/>
              <w:t>20-35</w:t>
            </w:r>
          </w:p>
          <w:p>
            <w:pPr>
              <w:pStyle w:val="TableParagraph"/>
              <w:tabs>
                <w:tab w:pos="2033" w:val="left" w:leader="none"/>
              </w:tabs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Advanced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Practice</w:t>
              <w:tab/>
              <w:t>(9)</w:t>
            </w:r>
          </w:p>
        </w:tc>
      </w:tr>
      <w:tr>
        <w:trPr>
          <w:trHeight w:val="769" w:hRule="exact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Мастер рад са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СИР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Major subject studies including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>
              <w:pStyle w:val="TableParagraph"/>
              <w:spacing w:line="240" w:lineRule="auto"/>
              <w:ind w:left="100" w:right="17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Module in anderen Fach und Masterarbeit (Fachdidaktik)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26-31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</w:tr>
      <w:tr>
        <w:trPr>
          <w:trHeight w:val="262" w:hRule="exact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>
            <w:pPr/>
          </w:p>
        </w:tc>
      </w:tr>
      <w:tr>
        <w:trPr>
          <w:trHeight w:val="264" w:hRule="exact"/>
        </w:trPr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Резиме заступљености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дисциплина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Науке о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образовању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27 od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40 od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300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60 од 300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Методичке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дисциплине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 +15 od 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7 od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300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 +26 od 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8 od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300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Стручна школска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пракса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BSc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MSc 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0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BSC+MSc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25 od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300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BSc+MSc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11 od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3235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BSc+MSc 20-35 od 300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Пракса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BSc4, MSc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41" w:footer="959" w:top="940" w:bottom="1140" w:left="1020" w:right="30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BodyText"/>
        <w:spacing w:line="240" w:lineRule="auto" w:before="69"/>
        <w:ind w:left="147" w:right="182"/>
        <w:jc w:val="left"/>
      </w:pPr>
      <w:r>
        <w:rPr>
          <w:rFonts w:ascii="Times New Roman" w:hAnsi="Times New Roman" w:cs="Times New Roman" w:eastAsia="Times New Roman" w:hint="default"/>
        </w:rPr>
        <w:t>Додатак табели 6.0. </w:t>
      </w:r>
      <w:r>
        <w:rPr/>
        <w:t>– </w:t>
      </w:r>
      <w:r>
        <w:rPr>
          <w:rFonts w:ascii="Times New Roman" w:hAnsi="Times New Roman" w:cs="Times New Roman" w:eastAsia="Times New Roman" w:hint="default"/>
          <w:b/>
          <w:bCs/>
        </w:rPr>
        <w:t>Прилози 6.1., 6.2, 6.3 </w:t>
      </w:r>
      <w:r>
        <w:rPr/>
        <w:t>- </w:t>
      </w:r>
      <w:r>
        <w:rPr>
          <w:rFonts w:ascii="Times New Roman" w:hAnsi="Times New Roman" w:cs="Times New Roman" w:eastAsia="Times New Roman" w:hint="default"/>
        </w:rPr>
        <w:t>Извори за анализиране студијске програме за образовање наставника предметне</w:t>
      </w:r>
      <w:r>
        <w:rPr>
          <w:rFonts w:ascii="Times New Roman" w:hAnsi="Times New Roman" w:cs="Times New Roman" w:eastAsia="Times New Roman" w:hint="default"/>
          <w:spacing w:val="-27"/>
        </w:rPr>
        <w:t> </w:t>
      </w:r>
      <w:r>
        <w:rPr>
          <w:rFonts w:ascii="Times New Roman" w:hAnsi="Times New Roman" w:cs="Times New Roman" w:eastAsia="Times New Roman" w:hint="default"/>
        </w:rPr>
        <w:t>наставе</w:t>
      </w:r>
      <w:r>
        <w:rPr/>
        <w:t>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47" w:right="18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6.1.а. </w:t>
      </w:r>
      <w:r>
        <w:rPr>
          <w:rFonts w:ascii="Times New Roman" w:hAnsi="Times New Roman"/>
          <w:b/>
          <w:sz w:val="24"/>
        </w:rPr>
        <w:t>Универзитет Јиваскила у Финској </w:t>
      </w:r>
      <w:r>
        <w:rPr>
          <w:rFonts w:ascii="Times New Roman" w:hAnsi="Times New Roman"/>
          <w:b/>
          <w:sz w:val="24"/>
        </w:rPr>
        <w:t>- Jyvaskyla University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color w:val="0000FF"/>
          <w:spacing w:val="-28"/>
          <w:sz w:val="24"/>
        </w:rPr>
      </w:r>
      <w:hyperlink r:id="rId7">
        <w:r>
          <w:rPr>
            <w:rFonts w:ascii="Times New Roman" w:hAnsi="Times New Roman"/>
            <w:color w:val="0000FF"/>
            <w:sz w:val="24"/>
            <w:u w:val="single" w:color="0000FF"/>
          </w:rPr>
          <w:t>https://www.jyu.fi/en/</w:t>
        </w:r>
        <w:r>
          <w:rPr>
            <w:rFonts w:ascii="Times New Roman" w:hAnsi="Times New Roman"/>
            <w:color w:val="0000FF"/>
            <w:sz w:val="24"/>
          </w:rPr>
        </w:r>
        <w:r>
          <w:rPr>
            <w:rFonts w:ascii="Times New Roman" w:hAnsi="Times New Roman"/>
            <w:sz w:val="24"/>
          </w:rPr>
        </w:r>
      </w:hyperlink>
    </w:p>
    <w:p>
      <w:pPr>
        <w:pStyle w:val="BodyText"/>
        <w:spacing w:line="240" w:lineRule="auto"/>
        <w:ind w:left="147" w:right="182"/>
        <w:jc w:val="left"/>
      </w:pPr>
      <w:r>
        <w:rPr>
          <w:rFonts w:ascii="Times New Roman" w:hAnsi="Times New Roman"/>
        </w:rPr>
        <w:t>6.1.б. </w:t>
      </w:r>
      <w:r>
        <w:rPr/>
        <w:t>Teacher Education Curriculum Jyvaskyla University</w:t>
      </w:r>
      <w:r>
        <w:rPr>
          <w:spacing w:val="-35"/>
        </w:rPr>
        <w:t> </w:t>
      </w:r>
      <w:r>
        <w:rPr>
          <w:color w:val="0000FF"/>
          <w:spacing w:val="-35"/>
        </w:rPr>
      </w:r>
      <w:hyperlink r:id="rId8">
        <w:r>
          <w:rPr>
            <w:color w:val="0000FF"/>
            <w:u w:val="single" w:color="0000FF"/>
          </w:rPr>
          <w:t>https://www.jyu.fi/edu/laitokset/okl/en/curriculum/curriculum%20pdf/view</w:t>
        </w:r>
        <w:r>
          <w:rPr>
            <w:color w:val="0000FF"/>
          </w:rPr>
        </w:r>
        <w:r>
          <w:rPr/>
        </w:r>
      </w:hyperlink>
    </w:p>
    <w:p>
      <w:pPr>
        <w:spacing w:before="0"/>
        <w:ind w:left="714" w:right="18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Jyvaskyla University, Finland,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color w:val="0000FF"/>
          <w:spacing w:val="-28"/>
          <w:sz w:val="24"/>
        </w:rPr>
      </w:r>
      <w:hyperlink r:id="rId8">
        <w:r>
          <w:rPr>
            <w:rFonts w:ascii="Times New Roman"/>
            <w:color w:val="0000FF"/>
            <w:sz w:val="24"/>
            <w:u w:val="single" w:color="0000FF"/>
          </w:rPr>
          <w:t>https://www.jyu.fi/edu/laitokset/okl/en/curriculum/curriculum%20pdf/view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pStyle w:val="ListParagraph"/>
        <w:numPr>
          <w:ilvl w:val="2"/>
          <w:numId w:val="1"/>
        </w:numPr>
        <w:tabs>
          <w:tab w:pos="734" w:val="left" w:leader="none"/>
        </w:tabs>
        <w:spacing w:line="240" w:lineRule="auto" w:before="120" w:after="0"/>
        <w:ind w:left="733" w:right="0" w:hanging="585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Технички универзитет у Берлину </w:t>
      </w:r>
      <w:r>
        <w:rPr>
          <w:rFonts w:ascii="Times New Roman" w:hAnsi="Times New Roman"/>
          <w:b/>
          <w:sz w:val="24"/>
        </w:rPr>
        <w:t>- Technische Universitat Berlin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color w:val="0000FF"/>
          <w:spacing w:val="-32"/>
          <w:sz w:val="24"/>
        </w:rPr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http://www.tu-berlin.de/</w:t>
        </w:r>
        <w:r>
          <w:rPr>
            <w:rFonts w:ascii="Times New Roman" w:hAnsi="Times New Roman"/>
            <w:color w:val="0000FF"/>
            <w:sz w:val="24"/>
          </w:rPr>
        </w:r>
        <w:r>
          <w:rPr>
            <w:rFonts w:ascii="Times New Roman" w:hAnsi="Times New Roman"/>
            <w:sz w:val="24"/>
          </w:rPr>
        </w:r>
      </w:hyperlink>
    </w:p>
    <w:p>
      <w:pPr>
        <w:pStyle w:val="Heading1"/>
        <w:spacing w:line="240" w:lineRule="auto" w:before="120"/>
        <w:ind w:right="182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/>
          <w:b w:val="0"/>
        </w:rPr>
        <w:t>. </w:t>
      </w:r>
      <w:r>
        <w:rPr>
          <w:rFonts w:ascii="Times New Roman"/>
        </w:rPr>
        <w:t>Technische Universitat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Berlin</w:t>
      </w:r>
      <w:r>
        <w:rPr>
          <w:rFonts w:ascii="Times New Roman"/>
          <w:b w:val="0"/>
        </w:rPr>
      </w:r>
    </w:p>
    <w:p>
      <w:pPr>
        <w:pStyle w:val="ListParagraph"/>
        <w:numPr>
          <w:ilvl w:val="3"/>
          <w:numId w:val="1"/>
        </w:numPr>
        <w:tabs>
          <w:tab w:pos="1048" w:val="left" w:leader="none"/>
        </w:tabs>
        <w:spacing w:line="240" w:lineRule="auto" w:before="0" w:after="0"/>
        <w:ind w:left="1048" w:right="5402" w:hanging="18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hyperlink r:id="rId10">
        <w:r>
          <w:rPr>
            <w:rFonts w:ascii="Times New Roman"/>
            <w:color w:val="0000FF"/>
            <w:spacing w:val="-1"/>
            <w:sz w:val="24"/>
            <w:u w:val="single" w:color="0000FF"/>
          </w:rPr>
          <w:t>http://www.setub.tu-berlin.de/menue/studium_lehre/masterstudiengaenge/arbeitslehre/</w:t>
        </w:r>
        <w:r>
          <w:rPr>
            <w:rFonts w:ascii="Times New Roman"/>
            <w:color w:val="0000FF"/>
            <w:sz w:val="24"/>
            <w:u w:val="single" w:color="0000FF"/>
          </w:rPr>
          <w:t> </w:t>
        </w:r>
        <w:r>
          <w:rPr>
            <w:rFonts w:ascii="Times New Roman"/>
            <w:color w:val="0000FF"/>
            <w:sz w:val="24"/>
          </w:rPr>
        </w:r>
      </w:hyperlink>
      <w:r>
        <w:rPr>
          <w:rFonts w:ascii="Times New Roman"/>
          <w:color w:val="0000FF"/>
          <w:sz w:val="24"/>
        </w:rPr>
      </w:r>
      <w:r>
        <w:rPr>
          <w:rFonts w:ascii="Times New Roman"/>
          <w:sz w:val="24"/>
        </w:rPr>
        <w:t>Informationen zum Master of Education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Arbeitslehre</w:t>
      </w:r>
    </w:p>
    <w:p>
      <w:pPr>
        <w:pStyle w:val="BodyText"/>
        <w:spacing w:line="240" w:lineRule="auto"/>
        <w:ind w:right="4207"/>
        <w:jc w:val="left"/>
        <w:rPr>
          <w:rFonts w:ascii="Times New Roman" w:hAnsi="Times New Roman" w:cs="Times New Roman" w:eastAsia="Times New Roman" w:hint="default"/>
        </w:rPr>
      </w:pPr>
      <w:r>
        <w:rPr>
          <w:color w:val="0000FF"/>
        </w:rPr>
      </w:r>
      <w:hyperlink r:id="rId11">
        <w:r>
          <w:rPr>
            <w:color w:val="0000FF"/>
            <w:spacing w:val="-1"/>
            <w:u w:val="single" w:color="0000FF"/>
          </w:rPr>
          <w:t>http://www.setub.tu-berlin.de/menue/studium_lehre/masterstudiengaenge/elektrotechnik/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color w:val="0000FF"/>
        </w:rPr>
      </w:r>
      <w:r>
        <w:rPr/>
        <w:t>Informationen zum Master of Education Elektrotechnik </w:t>
      </w:r>
      <w:r>
        <w:rPr>
          <w:rFonts w:ascii="Times New Roman" w:hAnsi="Times New Roman"/>
        </w:rPr>
        <w:t>и друга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подручја.</w:t>
      </w:r>
    </w:p>
    <w:p>
      <w:pPr>
        <w:pStyle w:val="BodyText"/>
        <w:spacing w:line="240" w:lineRule="auto"/>
        <w:ind w:left="714" w:right="182" w:hanging="567"/>
        <w:jc w:val="left"/>
      </w:pPr>
      <w:r>
        <w:rPr/>
        <w:t>6.2.</w:t>
      </w:r>
      <w:r>
        <w:rPr>
          <w:rFonts w:ascii="Times New Roman" w:hAnsi="Times New Roman"/>
        </w:rPr>
        <w:t>б. </w:t>
      </w:r>
      <w:r>
        <w:rPr/>
        <w:t>Studien- und Prufungsordnung fur den lehramtsbezogenen Masterstudiengang (M.Ed) an der Technischen Universitat Berlin, 2007, Servicezentrum Lehrerbildung,</w:t>
      </w:r>
      <w:r>
        <w:rPr>
          <w:spacing w:val="-30"/>
        </w:rPr>
        <w:t> </w:t>
      </w:r>
      <w:r>
        <w:rPr>
          <w:color w:val="0000FF"/>
          <w:spacing w:val="-30"/>
        </w:rPr>
      </w:r>
      <w:hyperlink r:id="rId12">
        <w:r>
          <w:rPr>
            <w:color w:val="0000FF"/>
            <w:u w:val="single" w:color="0000FF"/>
          </w:rPr>
          <w:t>http://www.lehrerbildung.tu-berlin.de/menue/studium_und_lehre/studien-_und_pruefungsordnungen/#68150</w:t>
        </w:r>
        <w:r>
          <w:rPr>
            <w:color w:val="0000FF"/>
          </w:rPr>
        </w:r>
        <w:r>
          <w:rPr/>
        </w:r>
      </w:hyperlink>
    </w:p>
    <w:p>
      <w:pPr>
        <w:tabs>
          <w:tab w:pos="9275" w:val="left" w:leader="none"/>
        </w:tabs>
        <w:spacing w:before="0"/>
        <w:ind w:left="714" w:right="1144" w:hanging="56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6.3.а. </w:t>
      </w:r>
      <w:r>
        <w:rPr>
          <w:rFonts w:ascii="Times New Roman" w:hAnsi="Times New Roman"/>
          <w:b/>
          <w:sz w:val="24"/>
        </w:rPr>
        <w:t>Универзитет Хелсинки, Финска </w:t>
      </w:r>
      <w:r>
        <w:rPr>
          <w:rFonts w:ascii="Times New Roman" w:hAnsi="Times New Roman"/>
          <w:b/>
          <w:sz w:val="24"/>
        </w:rPr>
        <w:t>- University of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sz w:val="24"/>
        </w:rPr>
        <w:t>Helsinki,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color w:val="0000FF"/>
          <w:spacing w:val="-4"/>
          <w:sz w:val="24"/>
        </w:rPr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http://www.helskinki.fi</w:t>
        </w:r>
        <w:r>
          <w:rPr>
            <w:rFonts w:ascii="Times New Roman" w:hAnsi="Times New Roman"/>
            <w:color w:val="0000FF"/>
            <w:sz w:val="24"/>
          </w:rPr>
        </w:r>
      </w:hyperlink>
      <w:r>
        <w:rPr>
          <w:rFonts w:ascii="Times New Roman" w:hAnsi="Times New Roman"/>
          <w:color w:val="0000FF"/>
          <w:sz w:val="24"/>
        </w:rPr>
        <w:tab/>
      </w:r>
      <w:r>
        <w:rPr>
          <w:rFonts w:ascii="Times New Roman" w:hAnsi="Times New Roman"/>
          <w:b/>
          <w:sz w:val="24"/>
        </w:rPr>
        <w:t>Department of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Teacher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Education</w:t>
      </w:r>
      <w:r>
        <w:rPr>
          <w:rFonts w:ascii="Times New Roman" w:hAnsi="Times New Roman"/>
          <w:sz w:val="24"/>
        </w:rPr>
        <w:t>, </w:t>
      </w:r>
      <w:hyperlink r:id="rId14">
        <w:r>
          <w:rPr>
            <w:rFonts w:ascii="Times New Roman" w:hAnsi="Times New Roman"/>
            <w:color w:val="0000FF"/>
            <w:sz w:val="24"/>
          </w:rPr>
        </w:r>
        <w:r>
          <w:rPr>
            <w:rFonts w:ascii="Times New Roman" w:hAnsi="Times New Roman"/>
            <w:color w:val="0000FF"/>
            <w:sz w:val="24"/>
            <w:u w:val="single" w:color="0000FF"/>
          </w:rPr>
          <w:t>http://www.helsinki.fi/teachereducation/, </w:t>
        </w:r>
        <w:r>
          <w:rPr>
            <w:rFonts w:ascii="Times New Roman" w:hAnsi="Times New Roman"/>
            <w:color w:val="0000FF"/>
            <w:sz w:val="24"/>
          </w:rPr>
        </w:r>
      </w:hyperlink>
      <w:r>
        <w:rPr>
          <w:rFonts w:ascii="Times New Roman" w:hAnsi="Times New Roman"/>
          <w:color w:val="0000FF"/>
          <w:sz w:val="24"/>
        </w:rPr>
      </w:r>
      <w:r>
        <w:rPr>
          <w:rFonts w:ascii="Times New Roman" w:hAnsi="Times New Roman"/>
          <w:color w:val="0000FF"/>
          <w:sz w:val="24"/>
          <w:u w:val="single" w:color="0000FF"/>
        </w:rPr>
      </w:r>
      <w:hyperlink r:id="rId15">
        <w:r>
          <w:rPr>
            <w:rFonts w:ascii="Times New Roman" w:hAnsi="Times New Roman"/>
            <w:color w:val="0000FF"/>
            <w:sz w:val="24"/>
            <w:u w:val="single" w:color="0000FF"/>
          </w:rPr>
          <w:t>http://www.helsinki.fi/teachereducation/education/subjectteacher/index.html, </w:t>
        </w:r>
        <w:r>
          <w:rPr>
            <w:rFonts w:ascii="Times New Roman" w:hAnsi="Times New Roman"/>
            <w:color w:val="0000FF"/>
            <w:sz w:val="24"/>
          </w:rPr>
        </w:r>
      </w:hyperlink>
      <w:r>
        <w:rPr>
          <w:rFonts w:ascii="Times New Roman" w:hAnsi="Times New Roman"/>
          <w:color w:val="0000FF"/>
          <w:sz w:val="24"/>
        </w:rPr>
      </w:r>
      <w:r>
        <w:rPr>
          <w:rFonts w:ascii="Times New Roman" w:hAnsi="Times New Roman"/>
          <w:color w:val="0000FF"/>
          <w:sz w:val="24"/>
          <w:u w:val="single" w:color="0000FF"/>
        </w:rPr>
        <w:t>http://www.helsinki.fi/teachereducation/studying/inenglish.html,</w:t>
      </w:r>
      <w:r>
        <w:rPr>
          <w:rFonts w:ascii="Times New Roman" w:hAnsi="Times New Roman"/>
          <w:color w:val="0000FF"/>
          <w:spacing w:val="25"/>
          <w:sz w:val="24"/>
          <w:u w:val="single" w:color="0000FF"/>
        </w:rPr>
        <w:t> </w:t>
      </w:r>
      <w:hyperlink r:id="rId16">
        <w:r>
          <w:rPr>
            <w:rFonts w:ascii="Times New Roman" w:hAnsi="Times New Roman"/>
            <w:color w:val="0000FF"/>
            <w:sz w:val="24"/>
            <w:u w:val="single" w:color="0000FF"/>
          </w:rPr>
          <w:t>http://www.helsinki.fi/teachereducation/step/information/index.html</w:t>
        </w:r>
        <w:r>
          <w:rPr>
            <w:rFonts w:ascii="Times New Roman" w:hAnsi="Times New Roman"/>
            <w:color w:val="0000FF"/>
            <w:sz w:val="24"/>
          </w:rPr>
        </w:r>
        <w:r>
          <w:rPr>
            <w:rFonts w:ascii="Times New Roman" w:hAnsi="Times New Roman"/>
            <w:sz w:val="24"/>
          </w:rPr>
        </w:r>
      </w:hyperlink>
    </w:p>
    <w:p>
      <w:pPr>
        <w:pStyle w:val="BodyText"/>
        <w:spacing w:line="240" w:lineRule="auto"/>
        <w:ind w:left="714" w:right="2941" w:hanging="567"/>
        <w:jc w:val="left"/>
      </w:pPr>
      <w:r>
        <w:rPr>
          <w:rFonts w:ascii="Times New Roman" w:hAnsi="Times New Roman"/>
        </w:rPr>
        <w:t>6.3.б</w:t>
      </w:r>
      <w:r>
        <w:rPr/>
        <w:t>. Niemi, H. &amp; Jakku-Sihvonen, R. Teacher education Curricula of secondary School Teacher, </w:t>
      </w:r>
      <w:r>
        <w:rPr>
          <w:rFonts w:ascii="Times New Roman" w:hAnsi="Times New Roman"/>
          <w:i/>
        </w:rPr>
        <w:t>Revista de Educacion</w:t>
      </w:r>
      <w:r>
        <w:rPr/>
        <w:t>, </w:t>
      </w:r>
      <w:r>
        <w:rPr>
          <w:color w:val="0000FF"/>
        </w:rPr>
      </w:r>
      <w:r>
        <w:rPr>
          <w:color w:val="0000FF"/>
          <w:u w:val="single" w:color="0000FF"/>
        </w:rPr>
      </w:r>
      <w:hyperlink r:id="rId17">
        <w:r>
          <w:rPr>
            <w:color w:val="0000FF"/>
            <w:u w:val="single" w:color="0000FF"/>
          </w:rPr>
          <w:t>http://www.revistaeducacion.educacion.es/re350/re350_08ing.pdf</w:t>
        </w:r>
        <w:r>
          <w:rPr>
            <w:color w:val="0000FF"/>
          </w:rPr>
        </w:r>
        <w:r>
          <w:rPr/>
        </w:r>
      </w:hyperlink>
    </w:p>
    <w:p>
      <w:pPr>
        <w:pStyle w:val="ListParagraph"/>
        <w:numPr>
          <w:ilvl w:val="1"/>
          <w:numId w:val="2"/>
        </w:numPr>
        <w:tabs>
          <w:tab w:pos="449" w:val="left" w:leader="none"/>
        </w:tabs>
        <w:spacing w:line="240" w:lineRule="auto" w:before="0" w:after="0"/>
        <w:ind w:left="449" w:right="0" w:hanging="30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.в.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Sahlberg, P. (2009).  The Most Wanted – Teachers and Teacher Education in Finland, in: Darling-Hammond, L &amp; Lieberman, A. (eds)</w:t>
      </w:r>
      <w:r>
        <w:rPr>
          <w:rFonts w:ascii="Times New Roman" w:hAnsi="Times New Roman" w:cs="Times New Roman" w:eastAsia="Times New Roman" w:hint="default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(2009).</w:t>
      </w:r>
    </w:p>
    <w:p>
      <w:pPr>
        <w:spacing w:before="0"/>
        <w:ind w:left="714" w:right="18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i/>
          <w:sz w:val="24"/>
        </w:rPr>
        <w:t>International Teacher Education: Practices &amp; Policies in High Achieving Nations</w:t>
      </w:r>
      <w:r>
        <w:rPr>
          <w:rFonts w:ascii="Times New Roman"/>
          <w:sz w:val="24"/>
        </w:rPr>
        <w:t>, New York: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Routledge.</w:t>
      </w:r>
    </w:p>
    <w:p>
      <w:pPr>
        <w:pStyle w:val="ListParagraph"/>
        <w:numPr>
          <w:ilvl w:val="2"/>
          <w:numId w:val="2"/>
        </w:numPr>
        <w:tabs>
          <w:tab w:pos="1048" w:val="left" w:leader="none"/>
        </w:tabs>
        <w:spacing w:line="240" w:lineRule="auto" w:before="120" w:after="0"/>
        <w:ind w:left="1048" w:right="1060" w:hanging="18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Додатни универзитетски и студијски програми за наставнике предметне наставе из области техничко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технолошких и ИМТ дисциплина и наставних предмета, а коришћени у развоју курикулума (Прилог 6.5 у оквиру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6.0):</w:t>
      </w:r>
    </w:p>
    <w:p>
      <w:pPr>
        <w:pStyle w:val="ListParagraph"/>
        <w:numPr>
          <w:ilvl w:val="3"/>
          <w:numId w:val="2"/>
        </w:numPr>
        <w:tabs>
          <w:tab w:pos="1588" w:val="left" w:leader="none"/>
        </w:tabs>
        <w:spacing w:line="283" w:lineRule="exact" w:before="0" w:after="0"/>
        <w:ind w:left="1424" w:right="0" w:hanging="424"/>
        <w:jc w:val="left"/>
        <w:rPr>
          <w:rFonts w:ascii="Times New Roman" w:hAnsi="Times New Roman" w:cs="Times New Roman" w:eastAsia="Times New Roman" w:hint="default"/>
          <w:color w:val="0000FF"/>
          <w:sz w:val="22"/>
          <w:szCs w:val="22"/>
        </w:rPr>
      </w:pPr>
      <w:r>
        <w:rPr>
          <w:rFonts w:ascii="Times New Roman"/>
          <w:sz w:val="24"/>
        </w:rPr>
        <w:t>Humboldt Universitat zu Berlin,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color w:val="0000FF"/>
          <w:spacing w:val="-35"/>
          <w:sz w:val="22"/>
        </w:rPr>
      </w:r>
      <w:r>
        <w:rPr>
          <w:rFonts w:ascii="Times New Roman"/>
          <w:color w:val="0000FF"/>
          <w:spacing w:val="-35"/>
          <w:sz w:val="22"/>
          <w:u w:val="single" w:color="0000FF"/>
        </w:rPr>
      </w:r>
      <w:hyperlink r:id="rId18">
        <w:r>
          <w:rPr>
            <w:rFonts w:ascii="Times New Roman"/>
            <w:color w:val="0000FF"/>
            <w:sz w:val="22"/>
            <w:u w:val="single" w:color="0000FF"/>
          </w:rPr>
          <w:t>http://www.hu-berlin.de/schule/lehrer/lehramtsstudium/lehramtsstudium_standardseite/angebote/lehramt/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pStyle w:val="ListParagraph"/>
        <w:numPr>
          <w:ilvl w:val="3"/>
          <w:numId w:val="2"/>
        </w:numPr>
        <w:tabs>
          <w:tab w:pos="1588" w:val="left" w:leader="none"/>
        </w:tabs>
        <w:spacing w:line="223" w:lineRule="auto" w:before="8" w:after="0"/>
        <w:ind w:left="1424" w:right="5500" w:hanging="424"/>
        <w:jc w:val="left"/>
        <w:rPr>
          <w:rFonts w:ascii="Times New Roman" w:hAnsi="Times New Roman" w:cs="Times New Roman" w:eastAsia="Times New Roman" w:hint="default"/>
          <w:color w:val="0000FF"/>
          <w:sz w:val="24"/>
          <w:szCs w:val="24"/>
        </w:rPr>
      </w:pPr>
      <w:r>
        <w:rPr>
          <w:rFonts w:ascii="Times New Roman"/>
          <w:sz w:val="24"/>
        </w:rPr>
        <w:t>JAMK University of Applied Sciences, Finland, Vocational Teacher Education, </w:t>
      </w:r>
      <w:r>
        <w:rPr>
          <w:rFonts w:ascii="Times New Roman"/>
          <w:color w:val="0000FF"/>
          <w:sz w:val="24"/>
        </w:rPr>
      </w:r>
      <w:hyperlink r:id="rId19">
        <w:r>
          <w:rPr>
            <w:rFonts w:ascii="Times New Roman"/>
            <w:color w:val="0000FF"/>
            <w:sz w:val="24"/>
            <w:u w:val="single" w:color="0000FF"/>
          </w:rPr>
          <w:t>http://www.jamk.fi/english/education/vocationalteachereducation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1"/>
        <w:spacing w:line="240" w:lineRule="auto"/>
        <w:ind w:right="182"/>
        <w:jc w:val="left"/>
        <w:rPr>
          <w:b w:val="0"/>
          <w:bCs w:val="0"/>
        </w:rPr>
      </w:pPr>
      <w:r>
        <w:rPr>
          <w:rFonts w:ascii="Times New Roman" w:hAnsi="Times New Roman"/>
          <w:b w:val="0"/>
        </w:rPr>
        <w:t>в. </w:t>
      </w:r>
      <w:r>
        <w:rPr/>
        <w:t>Референтни студијски програми на ваневропски</w:t>
      </w:r>
      <w:r>
        <w:rPr>
          <w:spacing w:val="-27"/>
        </w:rPr>
        <w:t> </w:t>
      </w:r>
      <w:r>
        <w:rPr/>
        <w:t>универзитетима:</w:t>
      </w:r>
      <w:r>
        <w:rPr>
          <w:b w:val="0"/>
        </w:rPr>
      </w:r>
    </w:p>
    <w:p>
      <w:pPr>
        <w:pStyle w:val="ListParagraph"/>
        <w:numPr>
          <w:ilvl w:val="2"/>
          <w:numId w:val="2"/>
        </w:numPr>
        <w:tabs>
          <w:tab w:pos="1048" w:val="left" w:leader="none"/>
        </w:tabs>
        <w:spacing w:line="240" w:lineRule="auto" w:before="0" w:after="0"/>
        <w:ind w:left="1048" w:right="152" w:hanging="18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Master of teaching in Elementary and Secondary education program MT, Canada, University of Toronto, OISE – Ontario Institute for Studies in Education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0000FF"/>
          <w:spacing w:val="-15"/>
          <w:sz w:val="24"/>
          <w:szCs w:val="24"/>
        </w:rPr>
      </w:r>
      <w:hyperlink r:id="rId20"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  <w:u w:val="single" w:color="0000FF"/>
          </w:rPr>
          <w:t>http://www.oise.utoronto.ca/mt/index.html</w:t>
        </w:r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</w:rPr>
        </w:r>
        <w:r>
          <w:rPr>
            <w:rFonts w:ascii="Times New Roman" w:hAnsi="Times New Roman" w:cs="Times New Roman" w:eastAsia="Times New Roman" w:hint="default"/>
            <w:sz w:val="24"/>
            <w:szCs w:val="24"/>
          </w:rPr>
        </w:r>
      </w:hyperlink>
    </w:p>
    <w:p>
      <w:pPr>
        <w:pStyle w:val="ListParagraph"/>
        <w:numPr>
          <w:ilvl w:val="2"/>
          <w:numId w:val="2"/>
        </w:numPr>
        <w:tabs>
          <w:tab w:pos="1048" w:val="left" w:leader="none"/>
        </w:tabs>
        <w:spacing w:line="240" w:lineRule="auto" w:before="0" w:after="0"/>
        <w:ind w:left="1048" w:right="2250" w:hanging="18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Master's of Arts in Teaching Engineering, USA, Tufts University – Department of Education, Medford, Massachusetts, </w:t>
      </w:r>
      <w:r>
        <w:rPr>
          <w:rFonts w:ascii="Times New Roman" w:hAnsi="Times New Roman" w:cs="Times New Roman" w:eastAsia="Times New Roman" w:hint="default"/>
          <w:color w:val="0000FF"/>
          <w:sz w:val="24"/>
          <w:szCs w:val="24"/>
        </w:rPr>
      </w:r>
      <w:r>
        <w:rPr>
          <w:rFonts w:ascii="Times New Roman" w:hAnsi="Times New Roman" w:cs="Times New Roman" w:eastAsia="Times New Roman" w:hint="default"/>
          <w:color w:val="0000FF"/>
          <w:sz w:val="24"/>
          <w:szCs w:val="24"/>
          <w:u w:val="single" w:color="0000FF"/>
        </w:rPr>
      </w:r>
      <w:hyperlink r:id="rId21"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  <w:u w:val="single" w:color="0000FF"/>
          </w:rPr>
          <w:t>http://ase.tufts.edu/education/programs/teacherPrep/MATengineering.asp</w:t>
        </w:r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</w:rPr>
        </w:r>
        <w:r>
          <w:rPr>
            <w:rFonts w:ascii="Times New Roman" w:hAnsi="Times New Roman" w:cs="Times New Roman" w:eastAsia="Times New Roman" w:hint="default"/>
            <w:sz w:val="24"/>
            <w:szCs w:val="24"/>
          </w:rPr>
        </w:r>
      </w:hyperlink>
    </w:p>
    <w:p>
      <w:pPr>
        <w:pStyle w:val="ListParagraph"/>
        <w:numPr>
          <w:ilvl w:val="2"/>
          <w:numId w:val="2"/>
        </w:numPr>
        <w:tabs>
          <w:tab w:pos="1048" w:val="left" w:leader="none"/>
        </w:tabs>
        <w:spacing w:line="240" w:lineRule="auto" w:before="0" w:after="0"/>
        <w:ind w:left="1048" w:right="0" w:hanging="18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Teachers collegues in Australia,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color w:val="0000FF"/>
          <w:spacing w:val="-24"/>
          <w:sz w:val="24"/>
        </w:rPr>
      </w:r>
      <w:hyperlink r:id="rId22">
        <w:r>
          <w:rPr>
            <w:rFonts w:ascii="Times New Roman"/>
            <w:color w:val="0000FF"/>
            <w:sz w:val="24"/>
            <w:u w:val="single" w:color="0000FF"/>
          </w:rPr>
          <w:t>http://www.australian-universities.com/schools/teaching/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50" w:h="11910" w:orient="landscape"/>
          <w:pgMar w:header="741" w:footer="959" w:top="940" w:bottom="1140" w:left="1100" w:right="98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BodyText"/>
        <w:spacing w:line="240" w:lineRule="auto" w:before="69"/>
        <w:ind w:left="147" w:right="182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Прилог </w:t>
      </w:r>
      <w:r>
        <w:rPr>
          <w:rFonts w:ascii="Times New Roman" w:hAnsi="Times New Roman"/>
          <w:b/>
        </w:rPr>
        <w:t>6.4. </w:t>
      </w:r>
      <w:r>
        <w:rPr>
          <w:rFonts w:ascii="Times New Roman" w:hAnsi="Times New Roman"/>
        </w:rPr>
        <w:t>релеватна документа о политици образовања наставника у ЕУ и публикације које су основа развоја студијског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</w:rPr>
        <w:t>програма</w:t>
      </w:r>
    </w:p>
    <w:p>
      <w:pPr>
        <w:spacing w:before="2"/>
        <w:ind w:left="431" w:right="1734" w:hanging="28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Common European Principles for Teacher Competence and Qualifications, European Commision, Directorate-General for Education and Culture, </w:t>
      </w:r>
      <w:r>
        <w:rPr>
          <w:rFonts w:ascii="Times New Roman"/>
          <w:color w:val="0000FF"/>
          <w:sz w:val="22"/>
        </w:rPr>
      </w:r>
      <w:r>
        <w:rPr>
          <w:rFonts w:ascii="Times New Roman"/>
          <w:color w:val="0000FF"/>
          <w:sz w:val="22"/>
          <w:u w:val="single" w:color="0000FF"/>
        </w:rPr>
      </w:r>
      <w:hyperlink r:id="rId23">
        <w:r>
          <w:rPr>
            <w:rFonts w:ascii="Times New Roman"/>
            <w:color w:val="0000FF"/>
            <w:sz w:val="22"/>
            <w:u w:val="single" w:color="0000FF"/>
          </w:rPr>
          <w:t>http://ec.europa.eu/education/policies/2010/doc/principles_en.pdf </w:t>
        </w:r>
        <w:r>
          <w:rPr>
            <w:rFonts w:ascii="Times New Roman"/>
            <w:color w:val="0000FF"/>
            <w:sz w:val="22"/>
          </w:rPr>
        </w:r>
      </w:hyperlink>
      <w:r>
        <w:rPr>
          <w:rFonts w:ascii="Times New Roman"/>
          <w:color w:val="0000FF"/>
          <w:sz w:val="22"/>
        </w:rPr>
      </w:r>
      <w:r>
        <w:rPr>
          <w:rFonts w:ascii="Times New Roman"/>
          <w:sz w:val="22"/>
        </w:rPr>
        <w:t>, </w:t>
      </w:r>
      <w:hyperlink r:id="rId24"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color w:val="0000FF"/>
            <w:sz w:val="22"/>
            <w:u w:val="single" w:color="0000FF"/>
          </w:rPr>
          <w:t>http://www.cedefop.europa.eu/EN/news/12702.aspx </w:t>
        </w:r>
        <w:r>
          <w:rPr>
            <w:rFonts w:ascii="Times New Roman"/>
            <w:color w:val="0000FF"/>
            <w:sz w:val="22"/>
          </w:rPr>
        </w:r>
      </w:hyperlink>
      <w:r>
        <w:rPr>
          <w:rFonts w:ascii="Times New Roman"/>
          <w:color w:val="0000FF"/>
          <w:sz w:val="22"/>
        </w:rPr>
      </w:r>
      <w:r>
        <w:rPr>
          <w:rFonts w:ascii="Times New Roman"/>
          <w:sz w:val="22"/>
        </w:rPr>
        <w:t>, </w:t>
      </w:r>
      <w:r>
        <w:rPr>
          <w:rFonts w:ascii="Times New Roman"/>
          <w:sz w:val="22"/>
        </w:rPr>
      </w:r>
      <w:hyperlink r:id="rId25"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color w:val="0000FF"/>
            <w:sz w:val="22"/>
            <w:u w:val="single" w:color="0000FF"/>
          </w:rPr>
          <w:t>http://europa.edu.int/comm/dqs/education_culture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before="1"/>
        <w:ind w:left="431" w:right="2552" w:hanging="28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European Teacher Unions: Teacher Education should be at master level, ATEE – Associaton of Teacher Education in Europe, Brussless, </w:t>
      </w:r>
      <w:r>
        <w:rPr>
          <w:rFonts w:ascii="Times New Roman" w:hAnsi="Times New Roman" w:cs="Times New Roman" w:eastAsia="Times New Roman" w:hint="default"/>
          <w:color w:val="0000FF"/>
          <w:sz w:val="22"/>
          <w:szCs w:val="22"/>
        </w:rPr>
      </w:r>
      <w:r>
        <w:rPr>
          <w:rFonts w:ascii="Times New Roman" w:hAnsi="Times New Roman" w:cs="Times New Roman" w:eastAsia="Times New Roman" w:hint="default"/>
          <w:color w:val="0000FF"/>
          <w:sz w:val="22"/>
          <w:szCs w:val="22"/>
          <w:u w:val="single" w:color="0000FF"/>
        </w:rPr>
      </w:r>
      <w:hyperlink r:id="rId26"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  <w:u w:val="single" w:color="0000FF"/>
          </w:rPr>
          <w:t>http://www.atee1.org/news/3/european_teacher_unions_teacher_education_should_be_at_master_level</w:t>
        </w:r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</w:rPr>
        </w:r>
        <w:r>
          <w:rPr>
            <w:rFonts w:ascii="Times New Roman" w:hAnsi="Times New Roman" w:cs="Times New Roman" w:eastAsia="Times New Roman" w:hint="default"/>
            <w:sz w:val="22"/>
            <w:szCs w:val="22"/>
          </w:rPr>
        </w:r>
      </w:hyperlink>
    </w:p>
    <w:p>
      <w:pPr>
        <w:spacing w:before="1"/>
        <w:ind w:left="431" w:right="4207" w:hanging="28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Deinum, J. F. (2010). Annual report Innote 2010: How EU countries support Newly Qualified Teachers. Case studies. </w:t>
      </w:r>
      <w:r>
        <w:rPr>
          <w:rFonts w:ascii="Times New Roman"/>
          <w:color w:val="3A2EB5"/>
          <w:sz w:val="22"/>
        </w:rPr>
      </w:r>
      <w:hyperlink r:id="rId27">
        <w:r>
          <w:rPr>
            <w:rFonts w:ascii="Times New Roman"/>
            <w:color w:val="3A2EB5"/>
            <w:sz w:val="22"/>
          </w:rPr>
          <w:t>http://www.rug.nl/jomite/INNOTE/download/innote_wp05.03_Annual_report.pdf</w:t>
        </w:r>
        <w:r>
          <w:rPr>
            <w:rFonts w:ascii="Times New Roman"/>
            <w:sz w:val="22"/>
          </w:rPr>
        </w:r>
      </w:hyperlink>
    </w:p>
    <w:p>
      <w:pPr>
        <w:spacing w:before="0"/>
        <w:ind w:left="431" w:right="182" w:hanging="28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Indicators on Initial Teacher Education - extracted from Key Data on Education 2009, EACEA P9 Euridyce, Education, Audiovisual and Culture Excutive Agency, Brussels, Belgium,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color w:val="0000FF"/>
          <w:spacing w:val="-28"/>
          <w:sz w:val="22"/>
        </w:rPr>
      </w:r>
      <w:hyperlink r:id="rId28">
        <w:r>
          <w:rPr>
            <w:rFonts w:ascii="Times New Roman"/>
            <w:color w:val="0000FF"/>
            <w:sz w:val="22"/>
            <w:u w:val="single" w:color="0000FF"/>
          </w:rPr>
          <w:t>http://www.sdcentras.lt/pla/res/Indicators%20on%20Initial%20Teacher%20Education.pd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52" w:lineRule="exact" w:before="0"/>
        <w:ind w:left="147" w:right="182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Teacher Quality in Europe,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color w:val="0000FF"/>
          <w:spacing w:val="-18"/>
          <w:sz w:val="22"/>
        </w:rPr>
      </w:r>
      <w:hyperlink r:id="rId29">
        <w:r>
          <w:rPr>
            <w:rFonts w:ascii="Times New Roman"/>
            <w:color w:val="0000FF"/>
            <w:sz w:val="22"/>
            <w:u w:val="single" w:color="0000FF"/>
          </w:rPr>
          <w:t>http://www.teacherqualitytoolbox.eu/teacher_quality_in_europe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147" w:right="20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Прилог 6.5</w:t>
      </w:r>
      <w:r>
        <w:rPr>
          <w:rFonts w:ascii="Times New Roman" w:hAnsi="Times New Roman"/>
        </w:rPr>
        <w:t>.а Извори о селектованим додатним студијским програмима за образовање наставника коришћениму развоју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</w:rPr>
        <w:t>студијског </w:t>
      </w:r>
      <w:r>
        <w:rPr>
          <w:rFonts w:ascii="Times New Roman" w:hAnsi="Times New Roman"/>
        </w:rPr>
        <w:t>програма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40" w:lineRule="auto" w:before="0" w:after="0"/>
        <w:ind w:left="1000" w:right="0" w:hanging="28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Humboldt Universitat zu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Berlin,</w:t>
      </w:r>
    </w:p>
    <w:p>
      <w:pPr>
        <w:pStyle w:val="BodyText"/>
        <w:spacing w:line="240" w:lineRule="auto"/>
        <w:ind w:left="1000" w:right="4744"/>
        <w:jc w:val="left"/>
      </w:pPr>
      <w:r>
        <w:rPr>
          <w:color w:val="0000FF"/>
        </w:rPr>
      </w:r>
      <w:hyperlink r:id="rId30">
        <w:r>
          <w:rPr>
            <w:color w:val="0000FF"/>
            <w:u w:val="single" w:color="0000FF"/>
          </w:rPr>
          <w:t>https://www.hu-berlin.de/de/einrichtungen-organisation/wissenschaftliche- </w:t>
        </w:r>
        <w:r>
          <w:rPr>
            <w:color w:val="0000FF"/>
          </w:rPr>
        </w:r>
      </w:hyperlink>
      <w:r>
        <w:rPr>
          <w:color w:val="0000FF"/>
        </w:rPr>
      </w:r>
      <w:hyperlink r:id="rId30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einrichtungen/zentralinstitute/pse/bereiche/studiengangsentwicklung/arbeitshilfen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color w:val="0000FF"/>
        </w:rPr>
      </w:r>
      <w:r>
        <w:rPr/>
        <w:t>Arbeitshilfen für die Entwicklung von lehramtsbezogenen</w:t>
      </w:r>
      <w:r>
        <w:rPr>
          <w:spacing w:val="-23"/>
        </w:rPr>
        <w:t> </w:t>
      </w:r>
      <w:r>
        <w:rPr/>
        <w:t>Masterstudiengängen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40" w:lineRule="auto" w:before="0" w:after="0"/>
        <w:ind w:left="1000" w:right="6232" w:hanging="28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JAMK University of Applied Sciences, Finnish, Vocational Teacher Education, </w:t>
      </w:r>
      <w:r>
        <w:rPr>
          <w:rFonts w:ascii="Times New Roman"/>
          <w:color w:val="0000FF"/>
          <w:sz w:val="24"/>
        </w:rPr>
      </w:r>
      <w:hyperlink r:id="rId19">
        <w:r>
          <w:rPr>
            <w:rFonts w:ascii="Times New Roman"/>
            <w:color w:val="0000FF"/>
            <w:sz w:val="24"/>
            <w:u w:val="single" w:color="0000FF"/>
          </w:rPr>
          <w:t>http://www.jamk.fi/english/education/vocationalteachereducation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pStyle w:val="ListParagraph"/>
        <w:numPr>
          <w:ilvl w:val="0"/>
          <w:numId w:val="3"/>
        </w:numPr>
        <w:tabs>
          <w:tab w:pos="869" w:val="left" w:leader="none"/>
        </w:tabs>
        <w:spacing w:line="253" w:lineRule="exact" w:before="2" w:after="0"/>
        <w:ind w:left="868" w:right="0" w:hanging="15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University of Gloucestershire,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color w:val="0000FF"/>
          <w:spacing w:val="-26"/>
          <w:sz w:val="22"/>
        </w:rPr>
      </w:r>
      <w:hyperlink r:id="rId31">
        <w:r>
          <w:rPr>
            <w:rFonts w:ascii="Times New Roman"/>
            <w:color w:val="0000FF"/>
            <w:sz w:val="22"/>
            <w:u w:val="single" w:color="0000FF"/>
          </w:rPr>
          <w:t>http://www.glos.ac.uk/courses/teachertraining/Pages/default.aspx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40" w:lineRule="auto" w:before="0" w:after="0"/>
        <w:ind w:left="1000" w:right="3182" w:hanging="286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Nottingham Trent University – Secondary Engineering PGCE, </w:t>
      </w:r>
      <w:r>
        <w:rPr>
          <w:rFonts w:ascii="Times New Roman" w:hAnsi="Times New Roman" w:cs="Times New Roman" w:eastAsia="Times New Roman" w:hint="default"/>
          <w:color w:val="0000FF"/>
          <w:sz w:val="22"/>
          <w:szCs w:val="22"/>
        </w:rPr>
      </w:r>
      <w:hyperlink r:id="rId32"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  <w:u w:val="single" w:color="0000FF"/>
          </w:rPr>
          <w:t>http://www.ntu.ac.uk/apps/pss/course_finder/87788- </w:t>
        </w:r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</w:rPr>
        </w:r>
      </w:hyperlink>
      <w:r>
        <w:rPr>
          <w:rFonts w:ascii="Times New Roman" w:hAnsi="Times New Roman" w:cs="Times New Roman" w:eastAsia="Times New Roman" w:hint="default"/>
          <w:color w:val="0000FF"/>
          <w:sz w:val="22"/>
          <w:szCs w:val="22"/>
        </w:rPr>
      </w:r>
      <w:hyperlink r:id="rId32"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</w:rPr>
        </w:r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  <w:u w:val="single" w:color="0000FF"/>
          </w:rPr>
        </w:r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  <w:u w:val="single" w:color="0000FF"/>
          </w:rPr>
          <w:t>1/7/PGCE_Secondary_Engineering_(14-19_Diploma).aspx</w:t>
        </w:r>
        <w:r>
          <w:rPr>
            <w:rFonts w:ascii="Times New Roman" w:hAnsi="Times New Roman" w:cs="Times New Roman" w:eastAsia="Times New Roman" w:hint="default"/>
            <w:color w:val="0000FF"/>
            <w:sz w:val="22"/>
            <w:szCs w:val="22"/>
          </w:rPr>
        </w:r>
        <w:r>
          <w:rPr>
            <w:rFonts w:ascii="Times New Roman" w:hAnsi="Times New Roman" w:cs="Times New Roman" w:eastAsia="Times New Roman" w:hint="default"/>
            <w:sz w:val="22"/>
            <w:szCs w:val="22"/>
          </w:rPr>
        </w:r>
      </w:hyperlink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73" w:lineRule="exact" w:before="0" w:after="0"/>
        <w:ind w:left="868" w:right="0" w:hanging="15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Universities with teacher training courses in UK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color w:val="0000FF"/>
          <w:spacing w:val="-23"/>
          <w:sz w:val="24"/>
        </w:rPr>
      </w:r>
      <w:hyperlink r:id="rId33">
        <w:r>
          <w:rPr>
            <w:rFonts w:ascii="Times New Roman"/>
            <w:color w:val="0000FF"/>
            <w:sz w:val="24"/>
            <w:u w:val="single" w:color="0000FF"/>
          </w:rPr>
          <w:t>http://www.axcis.co.uk/universities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69"/>
        <w:ind w:left="147" w:right="18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Прилог 6.5.б </w:t>
      </w:r>
      <w:r>
        <w:rPr>
          <w:rFonts w:ascii="Times New Roman" w:hAnsi="Times New Roman"/>
          <w:sz w:val="24"/>
        </w:rPr>
        <w:t>Ваневропски универзитети и студијски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програми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40" w:lineRule="auto" w:before="0" w:after="0"/>
        <w:ind w:left="1000" w:right="263" w:hanging="28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Master of teaching in Elementary and Secondary education program MT, Canada, University of Toronto, OISE – Ontario Institute for Studies in Education</w:t>
      </w:r>
      <w:r>
        <w:rPr>
          <w:rFonts w:ascii="Times New Roman" w:hAnsi="Times New Roman" w:cs="Times New Roman" w:eastAsia="Times New Roman" w:hint="default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0000FF"/>
          <w:spacing w:val="48"/>
          <w:sz w:val="24"/>
          <w:szCs w:val="24"/>
        </w:rPr>
      </w:r>
      <w:hyperlink r:id="rId20"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  <w:u w:val="single" w:color="0000FF"/>
          </w:rPr>
          <w:t>http://www.oise.utoronto.ca/mt/index.html</w:t>
        </w:r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</w:rPr>
        </w:r>
        <w:r>
          <w:rPr>
            <w:rFonts w:ascii="Times New Roman" w:hAnsi="Times New Roman" w:cs="Times New Roman" w:eastAsia="Times New Roman" w:hint="default"/>
            <w:sz w:val="24"/>
            <w:szCs w:val="24"/>
          </w:rPr>
        </w:r>
      </w:hyperlink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40" w:lineRule="auto" w:before="0" w:after="0"/>
        <w:ind w:left="1000" w:right="2524" w:hanging="28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Mater's of Arts in Teaching Engineering, USA, Tufts University – Department of Education, Medford, Massachusetts, </w:t>
      </w:r>
      <w:r>
        <w:rPr>
          <w:rFonts w:ascii="Times New Roman" w:hAnsi="Times New Roman" w:cs="Times New Roman" w:eastAsia="Times New Roman" w:hint="default"/>
          <w:color w:val="0000FF"/>
          <w:sz w:val="24"/>
          <w:szCs w:val="24"/>
        </w:rPr>
      </w:r>
      <w:hyperlink r:id="rId21"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  <w:u w:val="single" w:color="0000FF"/>
          </w:rPr>
          <w:t>http://ase.tufts.edu/education/programs/teacherPrep/MATengineering.asp</w:t>
        </w:r>
        <w:r>
          <w:rPr>
            <w:rFonts w:ascii="Times New Roman" w:hAnsi="Times New Roman" w:cs="Times New Roman" w:eastAsia="Times New Roman" w:hint="default"/>
            <w:color w:val="0000FF"/>
            <w:sz w:val="24"/>
            <w:szCs w:val="24"/>
          </w:rPr>
        </w:r>
        <w:r>
          <w:rPr>
            <w:rFonts w:ascii="Times New Roman" w:hAnsi="Times New Roman" w:cs="Times New Roman" w:eastAsia="Times New Roman" w:hint="default"/>
            <w:sz w:val="24"/>
            <w:szCs w:val="24"/>
          </w:rPr>
        </w:r>
      </w:hyperlink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40" w:lineRule="auto" w:before="0" w:after="0"/>
        <w:ind w:left="868" w:right="0" w:hanging="15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Teachers colleagues in Australia,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color w:val="0000FF"/>
          <w:spacing w:val="-29"/>
          <w:sz w:val="24"/>
        </w:rPr>
      </w:r>
      <w:hyperlink r:id="rId22">
        <w:r>
          <w:rPr>
            <w:rFonts w:ascii="Times New Roman"/>
            <w:color w:val="0000FF"/>
            <w:sz w:val="24"/>
            <w:u w:val="single" w:color="0000FF"/>
          </w:rPr>
          <w:t>http://www.australian-universities.com/schools/teaching/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sectPr>
      <w:pgSz w:w="16850" w:h="11910" w:orient="landscape"/>
      <w:pgMar w:header="741" w:footer="959" w:top="940" w:bottom="1140" w:left="11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8.356628pt;margin-top:536.385437pt;width:9pt;height:12pt;mso-position-horizontal-relative:page;mso-position-vertical-relative:page;z-index:-165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839996pt;margin-top:36.105457pt;width:374.2pt;height:12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color w:val="943634"/>
                    <w:sz w:val="20"/>
                    <w:szCs w:val="20"/>
                  </w:rPr>
                  <w:t>Документација за акредитацију СП МАС ПРЕДМЕТНА НАСТАВА 2017 </w:t>
                </w:r>
                <w:r>
                  <w:rPr>
                    <w:rFonts w:ascii="Times New Roman" w:hAnsi="Times New Roman" w:cs="Times New Roman" w:eastAsia="Times New Roman" w:hint="default"/>
                    <w:color w:val="943634"/>
                    <w:sz w:val="20"/>
                    <w:szCs w:val="20"/>
                  </w:rPr>
                  <w:t>– </w:t>
                </w:r>
                <w:r>
                  <w:rPr>
                    <w:rFonts w:ascii="Times New Roman" w:hAnsi="Times New Roman" w:cs="Times New Roman" w:eastAsia="Times New Roman" w:hint="default"/>
                    <w:color w:val="943634"/>
                    <w:sz w:val="20"/>
                    <w:szCs w:val="20"/>
                  </w:rPr>
                  <w:t>ФТН</w:t>
                </w:r>
                <w:r>
                  <w:rPr>
                    <w:rFonts w:ascii="Times New Roman" w:hAnsi="Times New Roman" w:cs="Times New Roman" w:eastAsia="Times New Roman" w:hint="default"/>
                    <w:color w:val="943634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color w:val="943634"/>
                    <w:sz w:val="20"/>
                    <w:szCs w:val="20"/>
                  </w:rPr>
                  <w:t>Чачак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"/>
      <w:lvlJc w:val="left"/>
      <w:pPr>
        <w:ind w:left="1000" w:hanging="154"/>
      </w:pPr>
      <w:rPr>
        <w:rFonts w:hint="default" w:ascii="Wingdings" w:hAnsi="Wingdings" w:eastAsia="Wingdings"/>
        <w:w w:val="100"/>
      </w:rPr>
    </w:lvl>
    <w:lvl w:ilvl="1">
      <w:start w:val="1"/>
      <w:numFmt w:val="bullet"/>
      <w:lvlText w:val="•"/>
      <w:lvlJc w:val="left"/>
      <w:pPr>
        <w:ind w:left="2376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2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8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4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0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56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32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08" w:hanging="154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449" w:hanging="3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9" w:hanging="30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"/>
      <w:lvlJc w:val="left"/>
      <w:pPr>
        <w:ind w:left="1048" w:hanging="180"/>
      </w:pPr>
      <w:rPr>
        <w:rFonts w:hint="default" w:ascii="Wingdings" w:hAnsi="Wingdings" w:eastAsia="Wingdings"/>
        <w:w w:val="100"/>
        <w:sz w:val="24"/>
        <w:szCs w:val="24"/>
      </w:rPr>
    </w:lvl>
    <w:lvl w:ilvl="3">
      <w:start w:val="1"/>
      <w:numFmt w:val="bullet"/>
      <w:lvlText w:val="o"/>
      <w:lvlJc w:val="left"/>
      <w:pPr>
        <w:ind w:left="1424" w:hanging="588"/>
      </w:pPr>
      <w:rPr>
        <w:rFonts w:hint="default" w:ascii="Courier New" w:hAnsi="Courier New" w:eastAsia="Courier New"/>
        <w:w w:val="100"/>
      </w:rPr>
    </w:lvl>
    <w:lvl w:ilvl="4">
      <w:start w:val="1"/>
      <w:numFmt w:val="bullet"/>
      <w:lvlText w:val="•"/>
      <w:lvlJc w:val="left"/>
      <w:pPr>
        <w:ind w:left="475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2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90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58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25" w:hanging="588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733" w:hanging="5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586"/>
        <w:jc w:val="left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33" w:hanging="586"/>
        <w:jc w:val="left"/>
      </w:pPr>
      <w:rPr>
        <w:rFonts w:hint="default" w:ascii="Times New Roman" w:hAnsi="Times New Roman" w:eastAsia="Times New Roman"/>
        <w:spacing w:val="-4"/>
        <w:w w:val="99"/>
        <w:sz w:val="24"/>
        <w:szCs w:val="24"/>
      </w:rPr>
    </w:lvl>
    <w:lvl w:ilvl="3">
      <w:start w:val="1"/>
      <w:numFmt w:val="bullet"/>
      <w:lvlText w:val=""/>
      <w:lvlJc w:val="left"/>
      <w:pPr>
        <w:ind w:left="1048" w:hanging="180"/>
      </w:pPr>
      <w:rPr>
        <w:rFonts w:hint="default" w:ascii="Wingdings" w:hAnsi="Wingdings" w:eastAsia="Wingdings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61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6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8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11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4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jyu.fi/en/" TargetMode="External"/><Relationship Id="rId8" Type="http://schemas.openxmlformats.org/officeDocument/2006/relationships/hyperlink" Target="https://www.jyu.fi/edu/laitokset/okl/en/curriculum/curriculum%20pdf/view" TargetMode="External"/><Relationship Id="rId9" Type="http://schemas.openxmlformats.org/officeDocument/2006/relationships/hyperlink" Target="http://www.tu-berlin.de/" TargetMode="External"/><Relationship Id="rId10" Type="http://schemas.openxmlformats.org/officeDocument/2006/relationships/hyperlink" Target="http://www.setub.tu-berlin.de/menue/studium_lehre/masterstudiengaenge/arbeitslehre/" TargetMode="External"/><Relationship Id="rId11" Type="http://schemas.openxmlformats.org/officeDocument/2006/relationships/hyperlink" Target="http://www.setub.tu-berlin.de/menue/studium_lehre/masterstudiengaenge/elektrotechnik/" TargetMode="External"/><Relationship Id="rId12" Type="http://schemas.openxmlformats.org/officeDocument/2006/relationships/hyperlink" Target="http://www.lehrerbildung.tu-berlin.de/menue/studium_und_lehre/studien-_und_pruefungsordnungen/%2368150" TargetMode="External"/><Relationship Id="rId13" Type="http://schemas.openxmlformats.org/officeDocument/2006/relationships/hyperlink" Target="http://www.helskinki.fi/" TargetMode="External"/><Relationship Id="rId14" Type="http://schemas.openxmlformats.org/officeDocument/2006/relationships/hyperlink" Target="http://www.helsinki.fi/teachereducation/" TargetMode="External"/><Relationship Id="rId15" Type="http://schemas.openxmlformats.org/officeDocument/2006/relationships/hyperlink" Target="http://www.helsinki.fi/teachereducation/education/subjectteacher/index.html" TargetMode="External"/><Relationship Id="rId16" Type="http://schemas.openxmlformats.org/officeDocument/2006/relationships/hyperlink" Target="http://www.helsinki.fi/teachereducation/step/information/index.html" TargetMode="External"/><Relationship Id="rId17" Type="http://schemas.openxmlformats.org/officeDocument/2006/relationships/hyperlink" Target="http://www.revistaeducacion.educacion.es/re350/re350_08ing.pdf" TargetMode="External"/><Relationship Id="rId18" Type="http://schemas.openxmlformats.org/officeDocument/2006/relationships/hyperlink" Target="http://www.hu-berlin.de/schule/lehrer/lehramtsstudium/lehramtsstudium_standardseite/angebote/lehramt/" TargetMode="External"/><Relationship Id="rId19" Type="http://schemas.openxmlformats.org/officeDocument/2006/relationships/hyperlink" Target="http://www.jamk.fi/english/education/vocationalteachereducation" TargetMode="External"/><Relationship Id="rId20" Type="http://schemas.openxmlformats.org/officeDocument/2006/relationships/hyperlink" Target="http://www.oise.utoronto.ca/mt/index.html" TargetMode="External"/><Relationship Id="rId21" Type="http://schemas.openxmlformats.org/officeDocument/2006/relationships/hyperlink" Target="http://ase.tufts.edu/education/programs/teacherPrep/MATengineering.asp" TargetMode="External"/><Relationship Id="rId22" Type="http://schemas.openxmlformats.org/officeDocument/2006/relationships/hyperlink" Target="http://www.australian-universities.com/schools/teaching/" TargetMode="External"/><Relationship Id="rId23" Type="http://schemas.openxmlformats.org/officeDocument/2006/relationships/hyperlink" Target="http://ec.europa.eu/education/policies/2010/doc/principles_en.pdf" TargetMode="External"/><Relationship Id="rId24" Type="http://schemas.openxmlformats.org/officeDocument/2006/relationships/hyperlink" Target="http://www.cedefop.europa.eu/EN/news/12702.aspx" TargetMode="External"/><Relationship Id="rId25" Type="http://schemas.openxmlformats.org/officeDocument/2006/relationships/hyperlink" Target="http://europa.edu.int/comm/dqs/education_culture" TargetMode="External"/><Relationship Id="rId26" Type="http://schemas.openxmlformats.org/officeDocument/2006/relationships/hyperlink" Target="http://www.atee1.org/news/3/european_teacher_unions_teacher_education_should_be_at_master_level" TargetMode="External"/><Relationship Id="rId27" Type="http://schemas.openxmlformats.org/officeDocument/2006/relationships/hyperlink" Target="http://www.rug.nl/jomite/INNOTE/download/innote_wp05.03_Annual_report.pdf" TargetMode="External"/><Relationship Id="rId28" Type="http://schemas.openxmlformats.org/officeDocument/2006/relationships/hyperlink" Target="http://www.sdcentras.lt/pla/res/Indicators%20on%20Initial%20Teacher%20Education.pd" TargetMode="External"/><Relationship Id="rId29" Type="http://schemas.openxmlformats.org/officeDocument/2006/relationships/hyperlink" Target="http://www.teacherqualitytoolbox.eu/teacher_quality_in_europe" TargetMode="External"/><Relationship Id="rId30" Type="http://schemas.openxmlformats.org/officeDocument/2006/relationships/hyperlink" Target="https://www.hu-berlin.de/de/einrichtungen-organisation/wissenschaftliche-einrichtungen/zentralinstitute/pse/bereiche/studiengangsentwicklung/arbeitshilfen" TargetMode="External"/><Relationship Id="rId31" Type="http://schemas.openxmlformats.org/officeDocument/2006/relationships/hyperlink" Target="http://www.glos.ac.uk/courses/teachertraining/Pages/default.aspx" TargetMode="External"/><Relationship Id="rId32" Type="http://schemas.openxmlformats.org/officeDocument/2006/relationships/hyperlink" Target="http://www.ntu.ac.uk/apps/pss/course_finder/87788-1/7/PGCE_Secondary_Engineering_(14-19_Diploma).aspx" TargetMode="External"/><Relationship Id="rId33" Type="http://schemas.openxmlformats.org/officeDocument/2006/relationships/hyperlink" Target="http://www.axcis.co.uk/universities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Bjekic</dc:creator>
  <dc:title>Tabela</dc:title>
  <dcterms:created xsi:type="dcterms:W3CDTF">2019-08-30T11:37:16Z</dcterms:created>
  <dcterms:modified xsi:type="dcterms:W3CDTF">2019-08-30T11:37:16Z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2019-08-30T00:00:00Z</vt:filetime>
  </property>
</Properties>
</file>